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073B" w14:textId="0803D132" w:rsidR="005173BF" w:rsidRPr="00C52C0A" w:rsidRDefault="005173BF" w:rsidP="005173BF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Основные полномочия контрольно-счетного органа</w:t>
      </w:r>
    </w:p>
    <w:p w14:paraId="5A903B86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осуществляет следующие основные полномочия:</w:t>
      </w:r>
    </w:p>
    <w:p w14:paraId="6A485C64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50D6AED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1ECBF6F1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3) внешняя проверка годового отчета об исполнении местного бюджета;</w:t>
      </w:r>
    </w:p>
    <w:p w14:paraId="11CD444F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4" w:history="1">
        <w:r w:rsidRPr="00C52C0A">
          <w:rPr>
            <w:sz w:val="28"/>
            <w:szCs w:val="28"/>
          </w:rPr>
          <w:t>законом</w:t>
        </w:r>
      </w:hyperlink>
      <w:r w:rsidRPr="00C52C0A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AC24C7D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AFD1D51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B5A9853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Пировского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D927136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8) анализ и мониторинг бюджетного процесса в Пировском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60DDBEB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Пировского муниципального округа;</w:t>
      </w:r>
    </w:p>
    <w:p w14:paraId="2CBA7BCC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092C0825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Пировского муниципального округа, предусмотренных документами стратегического планирования Пировского муниципального округа в пределах компетенции контрольно-счетного органа;</w:t>
      </w:r>
    </w:p>
    <w:p w14:paraId="79412E68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549E4A1C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депутатов.</w:t>
      </w:r>
    </w:p>
    <w:p w14:paraId="578DF79A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Внешний муниципальный финансовый контроль осуществляется контрольно-счетным органом:</w:t>
      </w:r>
    </w:p>
    <w:p w14:paraId="7C60AA34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Пировского муниципального округа, а также иных организаций, если они используют имущество, находящееся в муниципальной собственности Пировского муниципального округа;</w:t>
      </w:r>
    </w:p>
    <w:p w14:paraId="236E963C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648653B0" w14:textId="157D28E8" w:rsidR="005173BF" w:rsidRPr="00C52C0A" w:rsidRDefault="005173BF" w:rsidP="005173BF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Формы осуществления контрольно-счетным органом внешнего муниципального финансового контроля</w:t>
      </w:r>
    </w:p>
    <w:p w14:paraId="10456341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50FD5FB2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14:paraId="234D1A84" w14:textId="77777777" w:rsidR="005173BF" w:rsidRPr="00C52C0A" w:rsidRDefault="005173BF" w:rsidP="005173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При проведении экспертно-аналитического мероприятия контрольно-счетным органом составляет отч</w:t>
      </w:r>
      <w:bookmarkStart w:id="0" w:name="_GoBack"/>
      <w:bookmarkEnd w:id="0"/>
      <w:r w:rsidRPr="00C52C0A">
        <w:rPr>
          <w:sz w:val="28"/>
          <w:szCs w:val="28"/>
        </w:rPr>
        <w:t>ет или заключение.</w:t>
      </w:r>
    </w:p>
    <w:p w14:paraId="6F12D6FA" w14:textId="77777777" w:rsidR="00AD45A6" w:rsidRDefault="00AD45A6"/>
    <w:sectPr w:rsidR="00AD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02"/>
    <w:rsid w:val="00195A4A"/>
    <w:rsid w:val="005173BF"/>
    <w:rsid w:val="00AD45A6"/>
    <w:rsid w:val="00C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037F-9904-448F-A365-F476E3F0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151417F2E7EA82F3A96D9E49D8BFCCC1090598329A7767417DB940595771ADD0E52EAFAE42EA9E80D2AD0E2Au5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2023-12-04T03:23:00Z</dcterms:created>
  <dcterms:modified xsi:type="dcterms:W3CDTF">2023-12-04T03:24:00Z</dcterms:modified>
</cp:coreProperties>
</file>